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93" w:rsidRPr="00F043EE" w:rsidRDefault="00A82A93" w:rsidP="001F1774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A82A93" w:rsidRDefault="00A82A93" w:rsidP="00C85902">
      <w:pPr>
        <w:ind w:left="5245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F1774" w:rsidRPr="00C85902">
        <w:rPr>
          <w:noProof/>
          <w:sz w:val="24"/>
          <w:szCs w:val="24"/>
        </w:rPr>
        <w:t xml:space="preserve">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>
        <w:rPr>
          <w:sz w:val="24"/>
          <w:szCs w:val="24"/>
        </w:rPr>
        <w:t xml:space="preserve">                                                               </w:t>
      </w:r>
      <w:r w:rsidR="001F177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від   </w:t>
      </w:r>
      <w:r w:rsidR="00C85902"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травня 2026 року № </w:t>
      </w:r>
    </w:p>
    <w:p w:rsidR="000A3EB9" w:rsidRPr="004B7601" w:rsidRDefault="000A3EB9" w:rsidP="00A82A93">
      <w:pPr>
        <w:ind w:left="5245"/>
        <w:contextualSpacing/>
        <w:jc w:val="center"/>
        <w:rPr>
          <w:sz w:val="24"/>
          <w:szCs w:val="24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0A3EB9">
        <w:rPr>
          <w:b/>
          <w:color w:val="000000" w:themeColor="text1"/>
          <w:sz w:val="24"/>
          <w:szCs w:val="24"/>
          <w:lang w:eastAsia="uk-UA"/>
        </w:rPr>
        <w:t>92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0A3EB9">
        <w:rPr>
          <w:b/>
          <w:color w:val="000000" w:themeColor="text1"/>
          <w:sz w:val="24"/>
          <w:szCs w:val="24"/>
          <w:lang w:val="ru-RU" w:eastAsia="uk-UA"/>
        </w:rPr>
        <w:t>00241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986B29" w:rsidRDefault="000A3EB9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986B29">
        <w:rPr>
          <w:b/>
        </w:rPr>
        <w:t xml:space="preserve">ВСТАНОВЛЕННЯ СТАТУСУ </w:t>
      </w:r>
      <w:r>
        <w:rPr>
          <w:b/>
        </w:rPr>
        <w:t>ОСОБИ З ІНВАЛІДНІСТЮВ НАСЛІДОК ВІЙНИ.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402"/>
        <w:gridCol w:w="15"/>
        <w:gridCol w:w="2820"/>
        <w:gridCol w:w="850"/>
        <w:gridCol w:w="2126"/>
      </w:tblGrid>
      <w:tr w:rsidR="00BF1A97" w:rsidRPr="00B7593D" w:rsidTr="00986B29">
        <w:trPr>
          <w:trHeight w:hRule="exact" w:val="99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:rsidTr="0088767F">
        <w:trPr>
          <w:trHeight w:val="803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:rsidTr="007E6AA0">
        <w:trPr>
          <w:trHeight w:hRule="exact" w:val="1726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:rsidTr="001D652D">
        <w:trPr>
          <w:trHeight w:val="91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:rsidTr="007E6AA0">
        <w:trPr>
          <w:trHeight w:hRule="exact" w:val="1742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C85902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:rsidTr="0088767F">
        <w:trPr>
          <w:trHeight w:hRule="exact" w:val="363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986B29" w:rsidRDefault="0076152C" w:rsidP="000A3EB9">
            <w:pPr>
              <w:tabs>
                <w:tab w:val="left" w:pos="3969"/>
              </w:tabs>
              <w:jc w:val="left"/>
              <w:rPr>
                <w:sz w:val="24"/>
                <w:szCs w:val="24"/>
              </w:rPr>
            </w:pPr>
            <w:r w:rsidRPr="00986B29">
              <w:rPr>
                <w:sz w:val="24"/>
                <w:szCs w:val="24"/>
              </w:rPr>
              <w:t xml:space="preserve">Підготовка пакету документів до розгляду на засіданні міжвідомчої комісії з питань розгляду матеріалів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</w:t>
            </w:r>
            <w:r w:rsidR="000A3EB9">
              <w:rPr>
                <w:sz w:val="24"/>
                <w:szCs w:val="24"/>
              </w:rPr>
              <w:t>особи з інвалідністю внаслідок війни.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:rsidTr="0088767F">
        <w:trPr>
          <w:trHeight w:hRule="exact" w:val="4813"/>
          <w:jc w:val="center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986B29" w:rsidRDefault="0076152C" w:rsidP="00986B29">
            <w:pPr>
              <w:tabs>
                <w:tab w:val="left" w:pos="3969"/>
              </w:tabs>
              <w:jc w:val="left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986B29">
              <w:rPr>
                <w:sz w:val="24"/>
                <w:szCs w:val="24"/>
              </w:rPr>
              <w:t xml:space="preserve">Винесення документів на розгляд міжвідомчої комісії для: прийняття рішення про </w:t>
            </w:r>
            <w:r w:rsidR="00986B29" w:rsidRPr="00986B29">
              <w:rPr>
                <w:sz w:val="24"/>
                <w:szCs w:val="24"/>
              </w:rPr>
              <w:t xml:space="preserve">встановлення статусу </w:t>
            </w:r>
            <w:r w:rsidR="000A3EB9">
              <w:rPr>
                <w:sz w:val="24"/>
                <w:szCs w:val="24"/>
              </w:rPr>
              <w:t>особи з інвалідністю внаслідок війни.</w:t>
            </w:r>
            <w:r w:rsidR="00986B29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986B29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986B2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:rsidTr="0088767F">
        <w:trPr>
          <w:trHeight w:hRule="exact" w:val="198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0A3EB9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Оформлення та підписання рішення міжвідомчої комісії головою і секретарем</w:t>
            </w:r>
            <w:r w:rsidR="000A3EB9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:rsidTr="001A0C9D">
        <w:trPr>
          <w:trHeight w:val="106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:rsidTr="007E6AA0">
        <w:trPr>
          <w:trHeight w:hRule="exact" w:val="1778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B7593D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07" w:rsidRDefault="001F0007" w:rsidP="000D7B43">
      <w:r>
        <w:separator/>
      </w:r>
    </w:p>
  </w:endnote>
  <w:endnote w:type="continuationSeparator" w:id="0">
    <w:p w:rsidR="001F0007" w:rsidRDefault="001F0007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07" w:rsidRDefault="001F0007" w:rsidP="000D7B43">
      <w:r>
        <w:separator/>
      </w:r>
    </w:p>
  </w:footnote>
  <w:footnote w:type="continuationSeparator" w:id="0">
    <w:p w:rsidR="001F0007" w:rsidRDefault="001F0007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A3EB9"/>
    <w:rsid w:val="000D7B43"/>
    <w:rsid w:val="001D4528"/>
    <w:rsid w:val="001F0007"/>
    <w:rsid w:val="001F1774"/>
    <w:rsid w:val="002B68C8"/>
    <w:rsid w:val="002C7D60"/>
    <w:rsid w:val="0032485A"/>
    <w:rsid w:val="00345DFC"/>
    <w:rsid w:val="00414C09"/>
    <w:rsid w:val="00422C74"/>
    <w:rsid w:val="00451D8F"/>
    <w:rsid w:val="00543687"/>
    <w:rsid w:val="006F4521"/>
    <w:rsid w:val="0076152C"/>
    <w:rsid w:val="0078500F"/>
    <w:rsid w:val="007873D6"/>
    <w:rsid w:val="007E6AA0"/>
    <w:rsid w:val="008219B0"/>
    <w:rsid w:val="0088767F"/>
    <w:rsid w:val="008C2400"/>
    <w:rsid w:val="00985DB3"/>
    <w:rsid w:val="00986B29"/>
    <w:rsid w:val="00A82A93"/>
    <w:rsid w:val="00A87286"/>
    <w:rsid w:val="00B30BDF"/>
    <w:rsid w:val="00B7593D"/>
    <w:rsid w:val="00BF1A97"/>
    <w:rsid w:val="00C310F5"/>
    <w:rsid w:val="00C85902"/>
    <w:rsid w:val="00C874F5"/>
    <w:rsid w:val="00CE354A"/>
    <w:rsid w:val="00E82AB4"/>
    <w:rsid w:val="00EE5AD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1CDA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2026-05-20T06:28:00Z</cp:lastPrinted>
  <dcterms:created xsi:type="dcterms:W3CDTF">2026-05-21T09:17:00Z</dcterms:created>
  <dcterms:modified xsi:type="dcterms:W3CDTF">2026-05-25T08:17:00Z</dcterms:modified>
</cp:coreProperties>
</file>